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A558" w14:textId="77777777" w:rsidR="00B9564D" w:rsidRDefault="00664574">
      <w:pPr>
        <w:pStyle w:val="BodyText"/>
        <w:ind w:left="100"/>
        <w:rPr>
          <w:rFonts w:ascii="Times New Roman"/>
          <w:sz w:val="20"/>
        </w:rPr>
      </w:pPr>
      <w:r>
        <w:rPr>
          <w:rFonts w:ascii="Times New Roman"/>
          <w:noProof/>
          <w:sz w:val="20"/>
        </w:rPr>
        <w:drawing>
          <wp:inline distT="0" distB="0" distL="0" distR="0" wp14:anchorId="0523A5AC" wp14:editId="0523A5AD">
            <wp:extent cx="6867219" cy="67055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867219" cy="670559"/>
                    </a:xfrm>
                    <a:prstGeom prst="rect">
                      <a:avLst/>
                    </a:prstGeom>
                  </pic:spPr>
                </pic:pic>
              </a:graphicData>
            </a:graphic>
          </wp:inline>
        </w:drawing>
      </w:r>
    </w:p>
    <w:p w14:paraId="0523A559" w14:textId="77777777" w:rsidR="00B9564D" w:rsidRDefault="00664574">
      <w:pPr>
        <w:spacing w:before="102" w:line="408" w:lineRule="auto"/>
        <w:ind w:left="3935" w:right="4213" w:firstLine="3"/>
        <w:jc w:val="center"/>
        <w:rPr>
          <w:rFonts w:ascii="Segoe UI Black"/>
          <w:b/>
          <w:sz w:val="28"/>
        </w:rPr>
      </w:pPr>
      <w:r>
        <w:rPr>
          <w:rFonts w:ascii="Segoe UI Black"/>
          <w:b/>
          <w:sz w:val="28"/>
        </w:rPr>
        <w:t>ATTACHMENT 1 STATEMENT OF WORK</w:t>
      </w:r>
    </w:p>
    <w:p w14:paraId="0523A55A" w14:textId="77777777" w:rsidR="00B9564D" w:rsidRDefault="00664574">
      <w:pPr>
        <w:pStyle w:val="BodyText"/>
        <w:ind w:left="731"/>
        <w:rPr>
          <w:rFonts w:ascii="Segoe UI Black"/>
          <w:sz w:val="20"/>
        </w:rPr>
      </w:pPr>
      <w:r>
        <w:rPr>
          <w:rFonts w:ascii="Segoe UI Black"/>
          <w:sz w:val="20"/>
        </w:rPr>
      </w:r>
      <w:r>
        <w:rPr>
          <w:rFonts w:ascii="Segoe UI Black"/>
          <w:sz w:val="20"/>
        </w:rPr>
        <w:pict w14:anchorId="0523A5B0">
          <v:shapetype id="_x0000_t202" coordsize="21600,21600" o:spt="202" path="m,l,21600r21600,l21600,xe">
            <v:stroke joinstyle="miter"/>
            <v:path gradientshapeok="t" o:connecttype="rect"/>
          </v:shapetype>
          <v:shape id="_x0000_s2055" type="#_x0000_t202" style="width:476.9pt;height:22.8pt;mso-left-percent:-10001;mso-top-percent:-10001;mso-position-horizontal:absolute;mso-position-horizontal-relative:char;mso-position-vertical:absolute;mso-position-vertical-relative:line;mso-left-percent:-10001;mso-top-percent:-10001" fillcolor="#04536f" stroked="f">
            <v:textbox inset="0,0,0,0">
              <w:txbxContent>
                <w:p w14:paraId="0523A5BE" w14:textId="77777777" w:rsidR="00B9564D" w:rsidRDefault="00664574">
                  <w:pPr>
                    <w:pStyle w:val="BodyText"/>
                    <w:tabs>
                      <w:tab w:val="left" w:pos="807"/>
                    </w:tabs>
                    <w:spacing w:before="59"/>
                    <w:ind w:left="87"/>
                  </w:pPr>
                  <w:r>
                    <w:rPr>
                      <w:color w:val="FFFFFF"/>
                      <w:spacing w:val="6"/>
                    </w:rPr>
                    <w:t>1.0</w:t>
                  </w:r>
                  <w:r>
                    <w:rPr>
                      <w:color w:val="FFFFFF"/>
                      <w:spacing w:val="6"/>
                    </w:rPr>
                    <w:tab/>
                  </w:r>
                  <w:r>
                    <w:rPr>
                      <w:color w:val="FFFFFF"/>
                      <w:spacing w:val="9"/>
                    </w:rPr>
                    <w:t>SCOPE:</w:t>
                  </w:r>
                </w:p>
              </w:txbxContent>
            </v:textbox>
            <w10:anchorlock/>
          </v:shape>
        </w:pict>
      </w:r>
    </w:p>
    <w:p w14:paraId="0523A55B" w14:textId="77777777" w:rsidR="00B9564D" w:rsidRDefault="00664574">
      <w:pPr>
        <w:pStyle w:val="BodyText"/>
        <w:spacing w:before="69"/>
        <w:ind w:left="818" w:right="1302"/>
      </w:pPr>
      <w:r>
        <w:pict w14:anchorId="0523A5B1">
          <v:shape id="_x0000_s2054" type="#_x0000_t202" style="position:absolute;left:0;text-align:left;margin-left:67.55pt;margin-top:78.7pt;width:476.9pt;height:14.65pt;z-index:-251657216;mso-wrap-distance-left:0;mso-wrap-distance-right:0;mso-position-horizontal-relative:page" fillcolor="#04536f" stroked="f">
            <v:textbox inset="0,0,0,0">
              <w:txbxContent>
                <w:p w14:paraId="0523A5BF" w14:textId="77777777" w:rsidR="00B9564D" w:rsidRDefault="00664574">
                  <w:pPr>
                    <w:pStyle w:val="BodyText"/>
                    <w:tabs>
                      <w:tab w:val="left" w:pos="807"/>
                    </w:tabs>
                    <w:ind w:left="87"/>
                  </w:pPr>
                  <w:r>
                    <w:rPr>
                      <w:color w:val="FFFFFF"/>
                      <w:spacing w:val="6"/>
                    </w:rPr>
                    <w:t>2.0</w:t>
                  </w:r>
                  <w:r>
                    <w:rPr>
                      <w:color w:val="FFFFFF"/>
                      <w:spacing w:val="6"/>
                    </w:rPr>
                    <w:tab/>
                  </w:r>
                  <w:r>
                    <w:rPr>
                      <w:color w:val="FFFFFF"/>
                      <w:spacing w:val="2"/>
                    </w:rPr>
                    <w:t xml:space="preserve">DETAILED </w:t>
                  </w:r>
                  <w:r>
                    <w:rPr>
                      <w:color w:val="FFFFFF"/>
                    </w:rPr>
                    <w:t>DESCRIPTION OF</w:t>
                  </w:r>
                  <w:r>
                    <w:rPr>
                      <w:color w:val="FFFFFF"/>
                      <w:spacing w:val="-28"/>
                    </w:rPr>
                    <w:t xml:space="preserve"> </w:t>
                  </w:r>
                  <w:r>
                    <w:rPr>
                      <w:color w:val="FFFFFF"/>
                    </w:rPr>
                    <w:t>TASKS:</w:t>
                  </w:r>
                </w:p>
              </w:txbxContent>
            </v:textbox>
            <w10:wrap type="topAndBottom" anchorx="page"/>
          </v:shape>
        </w:pict>
      </w:r>
      <w:r>
        <w:t>This section includes a statement of what the project covers. This should include the technology area to be investigated, the project’s objective and goals, and an overview of the work that will be accomplished by the project to accomplish the objectives and goals. It is also appropriate in this section to specify related work that will not be included in the project’s efforts (i.e., “out of scope”</w:t>
      </w:r>
      <w:proofErr w:type="gramStart"/>
      <w:r>
        <w:t>), but</w:t>
      </w:r>
      <w:proofErr w:type="gramEnd"/>
      <w:r>
        <w:t xml:space="preserve"> accomplished by other planned activities.</w:t>
      </w:r>
    </w:p>
    <w:p w14:paraId="0523A55C" w14:textId="77777777" w:rsidR="00B9564D" w:rsidRDefault="00B9564D">
      <w:pPr>
        <w:pStyle w:val="BodyText"/>
        <w:spacing w:before="2"/>
        <w:rPr>
          <w:sz w:val="8"/>
        </w:rPr>
      </w:pPr>
    </w:p>
    <w:p w14:paraId="0523A55D" w14:textId="77777777" w:rsidR="00B9564D" w:rsidRDefault="00664574">
      <w:pPr>
        <w:pStyle w:val="BodyText"/>
        <w:spacing w:before="100"/>
        <w:ind w:left="1178" w:right="1317"/>
      </w:pPr>
      <w:r>
        <w:t xml:space="preserve">Describe each task in detail. The tasks, which represent the work to be performed under the task order, will be considered binding upon task order award. Thus, they should be developed in an orderly progression and in enough detail to establish the feasibility of accomplishing the overall project objectives and goals. The work effort should be segregated into major tasks and identified in </w:t>
      </w:r>
      <w:proofErr w:type="gramStart"/>
      <w:r>
        <w:t>separately-numbered</w:t>
      </w:r>
      <w:proofErr w:type="gramEnd"/>
      <w:r>
        <w:t xml:space="preserve"> paragraphs, as in the example below. Any cost-shared work shall be included in the “Description of Tasks.” Subtasks may be included in this description at the Offeror’s discretion.</w:t>
      </w:r>
    </w:p>
    <w:p w14:paraId="0523A55E" w14:textId="77777777" w:rsidR="00B9564D" w:rsidRDefault="00B9564D">
      <w:pPr>
        <w:pStyle w:val="BodyText"/>
        <w:rPr>
          <w:sz w:val="28"/>
        </w:rPr>
      </w:pPr>
    </w:p>
    <w:p w14:paraId="0523A55F" w14:textId="77777777" w:rsidR="00B9564D" w:rsidRDefault="00B9564D">
      <w:pPr>
        <w:pStyle w:val="BodyText"/>
        <w:spacing w:before="7"/>
        <w:rPr>
          <w:sz w:val="39"/>
        </w:rPr>
      </w:pPr>
    </w:p>
    <w:p w14:paraId="0523A560" w14:textId="77777777" w:rsidR="00B9564D" w:rsidRDefault="00664574">
      <w:pPr>
        <w:pStyle w:val="Heading1"/>
        <w:numPr>
          <w:ilvl w:val="1"/>
          <w:numId w:val="1"/>
        </w:numPr>
        <w:tabs>
          <w:tab w:val="left" w:pos="1899"/>
        </w:tabs>
        <w:ind w:hanging="361"/>
      </w:pPr>
      <w:bookmarkStart w:id="0" w:name="2.1_Task_1"/>
      <w:bookmarkEnd w:id="0"/>
      <w:r>
        <w:t>Task</w:t>
      </w:r>
      <w:r>
        <w:rPr>
          <w:spacing w:val="-4"/>
        </w:rPr>
        <w:t xml:space="preserve"> </w:t>
      </w:r>
      <w:r>
        <w:t>1</w:t>
      </w:r>
    </w:p>
    <w:p w14:paraId="0523A561" w14:textId="77777777" w:rsidR="00B9564D" w:rsidRDefault="00664574">
      <w:pPr>
        <w:pStyle w:val="ListParagraph"/>
        <w:numPr>
          <w:ilvl w:val="2"/>
          <w:numId w:val="1"/>
        </w:numPr>
        <w:tabs>
          <w:tab w:val="left" w:pos="2978"/>
          <w:tab w:val="left" w:pos="2979"/>
        </w:tabs>
        <w:spacing w:before="164"/>
        <w:ind w:hanging="721"/>
      </w:pPr>
      <w:r>
        <w:t>Subtask</w:t>
      </w:r>
    </w:p>
    <w:p w14:paraId="0523A562" w14:textId="77777777" w:rsidR="00B9564D" w:rsidRDefault="00B9564D">
      <w:pPr>
        <w:pStyle w:val="BodyText"/>
        <w:rPr>
          <w:sz w:val="28"/>
        </w:rPr>
      </w:pPr>
    </w:p>
    <w:p w14:paraId="0523A563" w14:textId="77777777" w:rsidR="00B9564D" w:rsidRDefault="00664574">
      <w:pPr>
        <w:pStyle w:val="ListParagraph"/>
        <w:numPr>
          <w:ilvl w:val="2"/>
          <w:numId w:val="1"/>
        </w:numPr>
        <w:tabs>
          <w:tab w:val="left" w:pos="2978"/>
          <w:tab w:val="left" w:pos="2979"/>
        </w:tabs>
        <w:spacing w:before="247"/>
        <w:ind w:hanging="721"/>
      </w:pPr>
      <w:r>
        <w:t>Subtask</w:t>
      </w:r>
    </w:p>
    <w:p w14:paraId="0523A564" w14:textId="77777777" w:rsidR="00B9564D" w:rsidRDefault="00B9564D">
      <w:pPr>
        <w:pStyle w:val="BodyText"/>
        <w:rPr>
          <w:sz w:val="28"/>
        </w:rPr>
      </w:pPr>
    </w:p>
    <w:p w14:paraId="0523A565" w14:textId="77777777" w:rsidR="00B9564D" w:rsidRDefault="00664574">
      <w:pPr>
        <w:pStyle w:val="Heading1"/>
        <w:numPr>
          <w:ilvl w:val="1"/>
          <w:numId w:val="1"/>
        </w:numPr>
        <w:tabs>
          <w:tab w:val="left" w:pos="1899"/>
        </w:tabs>
        <w:spacing w:before="249"/>
        <w:ind w:hanging="361"/>
      </w:pPr>
      <w:bookmarkStart w:id="1" w:name="2.2_Task_2"/>
      <w:bookmarkEnd w:id="1"/>
      <w:r>
        <w:t>Task</w:t>
      </w:r>
      <w:r>
        <w:rPr>
          <w:spacing w:val="-4"/>
        </w:rPr>
        <w:t xml:space="preserve"> </w:t>
      </w:r>
      <w:r>
        <w:t>2</w:t>
      </w:r>
    </w:p>
    <w:p w14:paraId="0523A566" w14:textId="77777777" w:rsidR="00B9564D" w:rsidRDefault="00664574">
      <w:pPr>
        <w:pStyle w:val="ListParagraph"/>
        <w:numPr>
          <w:ilvl w:val="2"/>
          <w:numId w:val="1"/>
        </w:numPr>
        <w:tabs>
          <w:tab w:val="left" w:pos="2978"/>
          <w:tab w:val="left" w:pos="2979"/>
        </w:tabs>
        <w:spacing w:before="163"/>
        <w:ind w:hanging="721"/>
      </w:pPr>
      <w:r>
        <w:t>Subtask</w:t>
      </w:r>
    </w:p>
    <w:p w14:paraId="0523A567" w14:textId="77777777" w:rsidR="00B9564D" w:rsidRDefault="00B9564D">
      <w:pPr>
        <w:pStyle w:val="BodyText"/>
        <w:rPr>
          <w:sz w:val="28"/>
        </w:rPr>
      </w:pPr>
    </w:p>
    <w:p w14:paraId="0523A568" w14:textId="77777777" w:rsidR="00B9564D" w:rsidRDefault="00664574">
      <w:pPr>
        <w:pStyle w:val="ListParagraph"/>
        <w:numPr>
          <w:ilvl w:val="2"/>
          <w:numId w:val="1"/>
        </w:numPr>
        <w:tabs>
          <w:tab w:val="left" w:pos="2978"/>
          <w:tab w:val="left" w:pos="2979"/>
        </w:tabs>
        <w:spacing w:before="249"/>
        <w:ind w:hanging="721"/>
      </w:pPr>
      <w:r>
        <w:t>Subtask</w:t>
      </w:r>
    </w:p>
    <w:p w14:paraId="0523A569" w14:textId="77777777" w:rsidR="00B9564D" w:rsidRDefault="00B9564D">
      <w:pPr>
        <w:pStyle w:val="BodyText"/>
        <w:rPr>
          <w:sz w:val="20"/>
        </w:rPr>
      </w:pPr>
    </w:p>
    <w:p w14:paraId="0523A56A" w14:textId="77777777" w:rsidR="00B9564D" w:rsidRDefault="00B9564D">
      <w:pPr>
        <w:pStyle w:val="BodyText"/>
        <w:rPr>
          <w:sz w:val="20"/>
        </w:rPr>
      </w:pPr>
    </w:p>
    <w:p w14:paraId="0523A56B" w14:textId="77777777" w:rsidR="00B9564D" w:rsidRDefault="00B9564D">
      <w:pPr>
        <w:pStyle w:val="BodyText"/>
        <w:rPr>
          <w:sz w:val="20"/>
        </w:rPr>
      </w:pPr>
    </w:p>
    <w:p w14:paraId="0523A56C" w14:textId="77777777" w:rsidR="00B9564D" w:rsidRDefault="00B9564D">
      <w:pPr>
        <w:pStyle w:val="BodyText"/>
        <w:rPr>
          <w:sz w:val="20"/>
        </w:rPr>
      </w:pPr>
    </w:p>
    <w:p w14:paraId="0523A56D" w14:textId="77777777" w:rsidR="00B9564D" w:rsidRDefault="00B9564D">
      <w:pPr>
        <w:pStyle w:val="BodyText"/>
        <w:rPr>
          <w:sz w:val="20"/>
        </w:rPr>
      </w:pPr>
    </w:p>
    <w:p w14:paraId="0523A56E" w14:textId="77777777" w:rsidR="00B9564D" w:rsidRDefault="00B9564D">
      <w:pPr>
        <w:pStyle w:val="BodyText"/>
        <w:rPr>
          <w:sz w:val="20"/>
        </w:rPr>
      </w:pPr>
    </w:p>
    <w:p w14:paraId="0523A56F" w14:textId="77777777" w:rsidR="00B9564D" w:rsidRDefault="00B9564D">
      <w:pPr>
        <w:pStyle w:val="BodyText"/>
        <w:spacing w:before="9"/>
        <w:rPr>
          <w:sz w:val="25"/>
        </w:rPr>
      </w:pPr>
    </w:p>
    <w:p w14:paraId="0523A570" w14:textId="77777777" w:rsidR="00B9564D" w:rsidRDefault="00664574">
      <w:pPr>
        <w:spacing w:before="60"/>
        <w:ind w:right="1094"/>
        <w:jc w:val="right"/>
        <w:rPr>
          <w:rFonts w:ascii="Calibri"/>
          <w:sz w:val="20"/>
        </w:rPr>
      </w:pPr>
      <w:r>
        <w:rPr>
          <w:rFonts w:ascii="Calibri"/>
          <w:w w:val="99"/>
          <w:sz w:val="20"/>
        </w:rPr>
        <w:t>1</w:t>
      </w:r>
    </w:p>
    <w:p w14:paraId="0523A571" w14:textId="77777777" w:rsidR="00B9564D" w:rsidRDefault="00B9564D">
      <w:pPr>
        <w:jc w:val="right"/>
        <w:rPr>
          <w:rFonts w:ascii="Calibri"/>
          <w:sz w:val="20"/>
        </w:rPr>
        <w:sectPr w:rsidR="00B9564D">
          <w:type w:val="continuous"/>
          <w:pgSz w:w="12240" w:h="15840"/>
          <w:pgMar w:top="720" w:right="340" w:bottom="280" w:left="620" w:header="720" w:footer="720" w:gutter="0"/>
          <w:cols w:space="720"/>
        </w:sectPr>
      </w:pPr>
    </w:p>
    <w:p w14:paraId="0523A572" w14:textId="77777777" w:rsidR="00B9564D" w:rsidRDefault="00B9564D">
      <w:pPr>
        <w:pStyle w:val="BodyText"/>
        <w:rPr>
          <w:rFonts w:ascii="Calibri"/>
          <w:sz w:val="20"/>
        </w:rPr>
      </w:pPr>
    </w:p>
    <w:p w14:paraId="0523A573" w14:textId="77777777" w:rsidR="00B9564D" w:rsidRDefault="00B9564D">
      <w:pPr>
        <w:pStyle w:val="BodyText"/>
        <w:spacing w:before="1"/>
        <w:rPr>
          <w:rFonts w:ascii="Calibri"/>
          <w:sz w:val="20"/>
        </w:rPr>
      </w:pPr>
    </w:p>
    <w:p w14:paraId="0523A574" w14:textId="77777777" w:rsidR="00B9564D" w:rsidRDefault="00664574">
      <w:pPr>
        <w:pStyle w:val="BodyText"/>
        <w:ind w:left="731"/>
        <w:rPr>
          <w:rFonts w:ascii="Calibri"/>
          <w:sz w:val="20"/>
        </w:rPr>
      </w:pPr>
      <w:r>
        <w:rPr>
          <w:rFonts w:ascii="Calibri"/>
          <w:sz w:val="20"/>
        </w:rPr>
      </w:r>
      <w:r>
        <w:rPr>
          <w:rFonts w:ascii="Calibri"/>
          <w:sz w:val="20"/>
        </w:rPr>
        <w:pict w14:anchorId="0523A5B3">
          <v:shape id="_x0000_s2053" type="#_x0000_t202" style="width:476.9pt;height:14.65pt;mso-left-percent:-10001;mso-top-percent:-10001;mso-position-horizontal:absolute;mso-position-horizontal-relative:char;mso-position-vertical:absolute;mso-position-vertical-relative:line;mso-left-percent:-10001;mso-top-percent:-10001" fillcolor="#04536f" stroked="f">
            <v:textbox inset="0,0,0,0">
              <w:txbxContent>
                <w:p w14:paraId="0523A5C0" w14:textId="77777777" w:rsidR="00B9564D" w:rsidRDefault="00664574">
                  <w:pPr>
                    <w:pStyle w:val="BodyText"/>
                    <w:tabs>
                      <w:tab w:val="left" w:pos="807"/>
                    </w:tabs>
                    <w:ind w:left="87"/>
                  </w:pPr>
                  <w:r>
                    <w:rPr>
                      <w:color w:val="FFFFFF"/>
                      <w:spacing w:val="6"/>
                    </w:rPr>
                    <w:t>3.0</w:t>
                  </w:r>
                  <w:r>
                    <w:rPr>
                      <w:color w:val="FFFFFF"/>
                      <w:spacing w:val="6"/>
                    </w:rPr>
                    <w:tab/>
                  </w:r>
                  <w:r>
                    <w:rPr>
                      <w:color w:val="FFFFFF"/>
                      <w:spacing w:val="11"/>
                    </w:rPr>
                    <w:t>TECHNICAL/DESIGN</w:t>
                  </w:r>
                  <w:r>
                    <w:rPr>
                      <w:color w:val="FFFFFF"/>
                      <w:spacing w:val="58"/>
                    </w:rPr>
                    <w:t xml:space="preserve"> </w:t>
                  </w:r>
                  <w:r>
                    <w:rPr>
                      <w:color w:val="FFFFFF"/>
                      <w:spacing w:val="10"/>
                    </w:rPr>
                    <w:t>REVIEWS:</w:t>
                  </w:r>
                </w:p>
              </w:txbxContent>
            </v:textbox>
            <w10:anchorlock/>
          </v:shape>
        </w:pict>
      </w:r>
    </w:p>
    <w:p w14:paraId="0523A575" w14:textId="77777777" w:rsidR="00B9564D" w:rsidRDefault="00B9564D">
      <w:pPr>
        <w:pStyle w:val="BodyText"/>
        <w:spacing w:before="10"/>
        <w:rPr>
          <w:rFonts w:ascii="Calibri"/>
          <w:sz w:val="6"/>
        </w:rPr>
      </w:pPr>
    </w:p>
    <w:p w14:paraId="0523A576" w14:textId="77777777" w:rsidR="00B9564D" w:rsidRDefault="00664574">
      <w:pPr>
        <w:pStyle w:val="BodyText"/>
        <w:spacing w:before="100" w:line="276" w:lineRule="auto"/>
        <w:ind w:left="818" w:right="2182"/>
      </w:pPr>
      <w:r>
        <w:t>Identify intended quarterly reviews, the intended attendees, where the reviews will be conducted, and at what point in the project (without specifying dates).</w:t>
      </w:r>
    </w:p>
    <w:p w14:paraId="0523A577" w14:textId="77777777" w:rsidR="00B9564D" w:rsidRDefault="00B9564D">
      <w:pPr>
        <w:pStyle w:val="BodyText"/>
        <w:rPr>
          <w:sz w:val="20"/>
        </w:rPr>
      </w:pPr>
    </w:p>
    <w:p w14:paraId="0523A578" w14:textId="77777777" w:rsidR="00B9564D" w:rsidRDefault="00664574">
      <w:pPr>
        <w:pStyle w:val="BodyText"/>
        <w:spacing w:before="7"/>
        <w:rPr>
          <w:sz w:val="21"/>
        </w:rPr>
      </w:pPr>
      <w:r>
        <w:pict w14:anchorId="0523A5B4">
          <v:shape id="_x0000_s2052" type="#_x0000_t202" style="position:absolute;margin-left:67.55pt;margin-top:15.5pt;width:476.9pt;height:22.8pt;z-index:-251655168;mso-wrap-distance-left:0;mso-wrap-distance-right:0;mso-position-horizontal-relative:page" fillcolor="#04536f" stroked="f">
            <v:textbox inset="0,0,0,0">
              <w:txbxContent>
                <w:p w14:paraId="0523A5C1" w14:textId="77777777" w:rsidR="00B9564D" w:rsidRDefault="00664574">
                  <w:pPr>
                    <w:pStyle w:val="BodyText"/>
                    <w:tabs>
                      <w:tab w:val="left" w:pos="807"/>
                    </w:tabs>
                    <w:spacing w:before="59"/>
                    <w:ind w:left="87"/>
                  </w:pPr>
                  <w:r>
                    <w:rPr>
                      <w:color w:val="FFFFFF"/>
                      <w:spacing w:val="6"/>
                    </w:rPr>
                    <w:t>4.0</w:t>
                  </w:r>
                  <w:r>
                    <w:rPr>
                      <w:color w:val="FFFFFF"/>
                      <w:spacing w:val="6"/>
                    </w:rPr>
                    <w:tab/>
                  </w:r>
                  <w:r>
                    <w:rPr>
                      <w:color w:val="FFFFFF"/>
                      <w:spacing w:val="12"/>
                    </w:rPr>
                    <w:t>DELIVERABLES:</w:t>
                  </w:r>
                </w:p>
              </w:txbxContent>
            </v:textbox>
            <w10:wrap type="topAndBottom" anchorx="page"/>
          </v:shape>
        </w:pict>
      </w:r>
    </w:p>
    <w:p w14:paraId="4226CCC5" w14:textId="77777777" w:rsidR="00167E39" w:rsidRDefault="00167E39" w:rsidP="00167E39">
      <w:pPr>
        <w:pStyle w:val="BodyText"/>
        <w:spacing w:before="100" w:line="276" w:lineRule="auto"/>
        <w:ind w:left="818" w:right="2182"/>
      </w:pPr>
      <w:r>
        <w:t xml:space="preserve">Results of the technical effort are contractually binding and shall be identified within Attachment 3, Schedule of Payments/Payable </w:t>
      </w:r>
      <w:proofErr w:type="gramStart"/>
      <w:r>
        <w:t>Milestones,,</w:t>
      </w:r>
      <w:proofErr w:type="gramEnd"/>
      <w:r>
        <w:t xml:space="preserve">  under the same Task/Subtask hierarchy developed in Section 2.0 above. Offerors are advised to read the Base Task Order Agreement carefully. </w:t>
      </w:r>
      <w:proofErr w:type="gramStart"/>
      <w:r>
        <w:t>Any and all</w:t>
      </w:r>
      <w:proofErr w:type="gramEnd"/>
      <w:r>
        <w:t xml:space="preserve"> hardware/software to be provided to the NSRP </w:t>
      </w:r>
      <w:proofErr w:type="gramStart"/>
      <w:r>
        <w:t>as a result of</w:t>
      </w:r>
      <w:proofErr w:type="gramEnd"/>
      <w:r>
        <w:t xml:space="preserve"> this program shall be identified.  A Project Management Plan shall be included as a </w:t>
      </w:r>
      <w:proofErr w:type="gramStart"/>
      <w:r>
        <w:t>deliverable</w:t>
      </w:r>
      <w:proofErr w:type="gramEnd"/>
      <w:r>
        <w:t>. If appropriate, a Software Development Plan shall also be included as a deliverable. (Both of these plan guides are available under ‘RA Project Plans and Templates’ at https://www.nsrp.org/project-plans-templates/) Deliverables should be submitted in PDF or MS Office (2010 or later) format. (A Technology Transfer &amp; Implementation Plan will be required for submission at the same time as the Statement of Work and Cost Proposal.)</w:t>
      </w:r>
    </w:p>
    <w:p w14:paraId="658A7D5A" w14:textId="77777777" w:rsidR="00167E39" w:rsidRDefault="00167E39" w:rsidP="00167E39">
      <w:pPr>
        <w:pStyle w:val="BodyText"/>
        <w:spacing w:before="100" w:line="276" w:lineRule="auto"/>
        <w:ind w:left="818" w:right="2182"/>
      </w:pPr>
    </w:p>
    <w:p w14:paraId="0CF7D318" w14:textId="77777777" w:rsidR="00167E39" w:rsidRDefault="00167E39" w:rsidP="00167E39">
      <w:pPr>
        <w:pStyle w:val="BodyText"/>
        <w:spacing w:before="100" w:line="276" w:lineRule="auto"/>
        <w:ind w:left="818" w:right="2182"/>
      </w:pPr>
      <w:r>
        <w:t xml:space="preserve">Include this statement in the Deliverables section: “The project deliverables are listed in Attachment 3. As part of the Final Report, Return on Investment (ROI) results will be detailed, to include addressing ROI differences between initial estimates and </w:t>
      </w:r>
      <w:proofErr w:type="gramStart"/>
      <w:r>
        <w:t>final results</w:t>
      </w:r>
      <w:proofErr w:type="gramEnd"/>
      <w:r>
        <w:t>. The Final Report will also include a comparison between the beginning Technology Readiness Level (TRL) of the process or technology, the projected TRL at project completion, and the realized TRL at project completion.”</w:t>
      </w:r>
    </w:p>
    <w:p w14:paraId="0523A57B" w14:textId="1A69FAB1" w:rsidR="00B9564D" w:rsidRPr="00167E39" w:rsidRDefault="00167E39" w:rsidP="00167E39">
      <w:pPr>
        <w:pStyle w:val="BodyText"/>
        <w:spacing w:before="100" w:line="276" w:lineRule="auto"/>
        <w:ind w:left="818" w:right="2182"/>
      </w:pPr>
      <w:r>
        <w:t>a.</w:t>
      </w:r>
      <w:r>
        <w:tab/>
        <w:t xml:space="preserve">Phase Go/No go criteria: If there are multiple phases to the project, a phase Go/No go criteria deliverable is required, prior to start of next phase. Project phases can be no more than 12 months in length. For the Phase Go/No go decisions, include the criteria for that decision in this section. Phase Go/No go criteria must be specific and able to be verified by others outside of the project team (and especially by the Program Technical Representative). For example, criteria can include completion of certain tests or other project </w:t>
      </w:r>
      <w:proofErr w:type="gramStart"/>
      <w:r>
        <w:t>activities, or</w:t>
      </w:r>
      <w:proofErr w:type="gramEnd"/>
      <w:r>
        <w:t xml:space="preserve"> achieving certain measured parameters with the project’s prototype system. (An updated Technology Transfer and Implementation Plan (TTIP) is also required for the Phase Go/No Go determination—See the Technology Transfer and Implementation Guide (TTIG), which is available on the NSRP website.)</w:t>
      </w:r>
    </w:p>
    <w:p w14:paraId="0523A57C" w14:textId="77777777" w:rsidR="00B9564D" w:rsidRDefault="00B9564D">
      <w:pPr>
        <w:pStyle w:val="BodyText"/>
        <w:spacing w:before="8"/>
        <w:rPr>
          <w:sz w:val="15"/>
        </w:rPr>
      </w:pPr>
    </w:p>
    <w:p w14:paraId="04747D3E" w14:textId="77777777" w:rsidR="00167E39" w:rsidRDefault="00167E39">
      <w:pPr>
        <w:pStyle w:val="BodyText"/>
        <w:spacing w:before="8"/>
        <w:rPr>
          <w:sz w:val="15"/>
        </w:rPr>
      </w:pPr>
    </w:p>
    <w:p w14:paraId="0523A57D" w14:textId="77777777" w:rsidR="00B9564D" w:rsidRDefault="00664574">
      <w:pPr>
        <w:pStyle w:val="BodyText"/>
        <w:tabs>
          <w:tab w:val="left" w:pos="10268"/>
        </w:tabs>
        <w:spacing w:before="99"/>
        <w:ind w:left="731"/>
      </w:pPr>
      <w:r>
        <w:rPr>
          <w:color w:val="FFFFFF"/>
          <w:w w:val="99"/>
          <w:shd w:val="clear" w:color="auto" w:fill="04536F"/>
        </w:rPr>
        <w:t xml:space="preserve"> </w:t>
      </w:r>
      <w:r>
        <w:rPr>
          <w:color w:val="FFFFFF"/>
          <w:spacing w:val="-33"/>
          <w:shd w:val="clear" w:color="auto" w:fill="04536F"/>
        </w:rPr>
        <w:t xml:space="preserve"> </w:t>
      </w:r>
      <w:proofErr w:type="gramStart"/>
      <w:r>
        <w:rPr>
          <w:color w:val="FFFFFF"/>
          <w:shd w:val="clear" w:color="auto" w:fill="04536F"/>
        </w:rPr>
        <w:t xml:space="preserve">5.0  </w:t>
      </w:r>
      <w:r>
        <w:rPr>
          <w:color w:val="FFFFFF"/>
          <w:spacing w:val="10"/>
          <w:shd w:val="clear" w:color="auto" w:fill="04536F"/>
        </w:rPr>
        <w:t>REPORTING</w:t>
      </w:r>
      <w:proofErr w:type="gramEnd"/>
      <w:r>
        <w:rPr>
          <w:color w:val="FFFFFF"/>
          <w:spacing w:val="47"/>
          <w:shd w:val="clear" w:color="auto" w:fill="04536F"/>
        </w:rPr>
        <w:t xml:space="preserve"> </w:t>
      </w:r>
      <w:r>
        <w:rPr>
          <w:color w:val="FFFFFF"/>
          <w:spacing w:val="10"/>
          <w:shd w:val="clear" w:color="auto" w:fill="04536F"/>
        </w:rPr>
        <w:t>REQUIREMENTS:</w:t>
      </w:r>
      <w:r>
        <w:rPr>
          <w:color w:val="FFFFFF"/>
          <w:spacing w:val="10"/>
          <w:shd w:val="clear" w:color="auto" w:fill="04536F"/>
        </w:rPr>
        <w:tab/>
      </w:r>
    </w:p>
    <w:p w14:paraId="0523A580" w14:textId="75D5F34E" w:rsidR="00B9564D" w:rsidRDefault="00664574" w:rsidP="00167E39">
      <w:pPr>
        <w:pStyle w:val="BodyText"/>
        <w:spacing w:before="204" w:line="276" w:lineRule="auto"/>
        <w:ind w:left="819" w:right="1302" w:hanging="2"/>
        <w:rPr>
          <w:sz w:val="20"/>
        </w:rPr>
      </w:pPr>
      <w:r>
        <w:t xml:space="preserve">Include within the quarterly reports for the project an update of the Quad Chart that is located </w:t>
      </w:r>
      <w:hyperlink r:id="rId8">
        <w:r>
          <w:rPr>
            <w:color w:val="0080FF"/>
            <w:u w:val="single" w:color="0080FF"/>
          </w:rPr>
          <w:t>here</w:t>
        </w:r>
        <w:r>
          <w:t xml:space="preserve">. </w:t>
        </w:r>
      </w:hyperlink>
      <w:r>
        <w:t>This Quad Chart will need to be updated quarterly.</w:t>
      </w:r>
      <w:r>
        <w:pict w14:anchorId="0523A5B5">
          <v:line id="_x0000_s2051" style="position:absolute;left:0;text-align:left;z-index:-251869184;mso-position-horizontal-relative:page;mso-position-vertical-relative:page" from="77.5pt,438.2pt" to="107.25pt,438.2pt" strokeweight=".1845mm">
            <w10:wrap anchorx="page" anchory="page"/>
          </v:line>
        </w:pict>
      </w:r>
    </w:p>
    <w:p w14:paraId="0523A581" w14:textId="77777777" w:rsidR="00B9564D" w:rsidRDefault="00B9564D">
      <w:pPr>
        <w:pStyle w:val="BodyText"/>
        <w:spacing w:before="4"/>
        <w:rPr>
          <w:sz w:val="12"/>
        </w:rPr>
      </w:pPr>
    </w:p>
    <w:p w14:paraId="0523A582" w14:textId="77777777" w:rsidR="00B9564D" w:rsidRDefault="00664574">
      <w:pPr>
        <w:pStyle w:val="BodyText"/>
        <w:ind w:left="731"/>
        <w:rPr>
          <w:sz w:val="20"/>
        </w:rPr>
      </w:pPr>
      <w:r>
        <w:rPr>
          <w:sz w:val="20"/>
        </w:rPr>
      </w:r>
      <w:r>
        <w:rPr>
          <w:sz w:val="20"/>
        </w:rPr>
        <w:pict w14:anchorId="0523A5B7">
          <v:shape id="_x0000_s2050" type="#_x0000_t202" style="width:476.9pt;height:22.8pt;mso-left-percent:-10001;mso-top-percent:-10001;mso-position-horizontal:absolute;mso-position-horizontal-relative:char;mso-position-vertical:absolute;mso-position-vertical-relative:line;mso-left-percent:-10001;mso-top-percent:-10001" fillcolor="#04536f" stroked="f">
            <v:textbox inset="0,0,0,0">
              <w:txbxContent>
                <w:p w14:paraId="0523A5C2" w14:textId="77777777" w:rsidR="00B9564D" w:rsidRDefault="00664574">
                  <w:pPr>
                    <w:pStyle w:val="BodyText"/>
                    <w:tabs>
                      <w:tab w:val="left" w:pos="807"/>
                    </w:tabs>
                    <w:spacing w:before="60"/>
                    <w:ind w:left="87"/>
                  </w:pPr>
                  <w:r>
                    <w:rPr>
                      <w:color w:val="FFFFFF"/>
                    </w:rPr>
                    <w:t>6.0</w:t>
                  </w:r>
                  <w:r>
                    <w:rPr>
                      <w:color w:val="FFFFFF"/>
                    </w:rPr>
                    <w:tab/>
                  </w:r>
                  <w:r>
                    <w:rPr>
                      <w:color w:val="FFFFFF"/>
                      <w:spacing w:val="6"/>
                    </w:rPr>
                    <w:t>METRICS/BENEFIT</w:t>
                  </w:r>
                  <w:r>
                    <w:rPr>
                      <w:color w:val="FFFFFF"/>
                      <w:spacing w:val="48"/>
                    </w:rPr>
                    <w:t xml:space="preserve"> </w:t>
                  </w:r>
                  <w:r>
                    <w:rPr>
                      <w:color w:val="FFFFFF"/>
                    </w:rPr>
                    <w:t>REALIZATION:</w:t>
                  </w:r>
                </w:p>
              </w:txbxContent>
            </v:textbox>
            <w10:anchorlock/>
          </v:shape>
        </w:pict>
      </w:r>
    </w:p>
    <w:p w14:paraId="0523A583" w14:textId="77777777" w:rsidR="00B9564D" w:rsidRDefault="00664574">
      <w:pPr>
        <w:pStyle w:val="BodyText"/>
        <w:spacing w:before="52" w:line="276" w:lineRule="auto"/>
        <w:ind w:left="820" w:right="1889"/>
      </w:pPr>
      <w:r>
        <w:t>Indicate the performance improvement metrics that will be developed for the project, using the format in the table below. This presentation should correspond to the metrics information in the Summary Proposal. Except where clearly not practicable, performance improvement metrics shall be developed and tracked for all projects, to compare the</w:t>
      </w:r>
    </w:p>
    <w:p w14:paraId="0523A584" w14:textId="77777777" w:rsidR="00B9564D" w:rsidRDefault="00664574">
      <w:pPr>
        <w:pStyle w:val="BodyText"/>
        <w:spacing w:before="1" w:line="276" w:lineRule="auto"/>
        <w:ind w:left="820" w:right="1536"/>
      </w:pPr>
      <w:r>
        <w:t>“</w:t>
      </w:r>
      <w:proofErr w:type="gramStart"/>
      <w:r>
        <w:t>as</w:t>
      </w:r>
      <w:proofErr w:type="gramEnd"/>
      <w:r>
        <w:t>-is” practice to that which is anticipated as project results are implemented. Actual benefits realized for the indicated metrics will be included in project reports. Include this sentence before the table: “Metrics will be reported in accordance with the intervals specified in the metrics table and procedures to be established by the Program Administrator.”</w:t>
      </w:r>
    </w:p>
    <w:p w14:paraId="0523A585" w14:textId="77777777" w:rsidR="00B9564D" w:rsidRDefault="00B9564D">
      <w:pPr>
        <w:pStyle w:val="BodyText"/>
        <w:spacing w:before="7" w:after="1"/>
        <w:rPr>
          <w:sz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06"/>
        <w:gridCol w:w="1399"/>
        <w:gridCol w:w="2049"/>
        <w:gridCol w:w="838"/>
        <w:gridCol w:w="1116"/>
        <w:gridCol w:w="3726"/>
      </w:tblGrid>
      <w:tr w:rsidR="00B9564D" w14:paraId="0523A58D" w14:textId="77777777" w:rsidTr="00167E39">
        <w:trPr>
          <w:trHeight w:val="1445"/>
          <w:jc w:val="center"/>
        </w:trPr>
        <w:tc>
          <w:tcPr>
            <w:tcW w:w="1206" w:type="dxa"/>
            <w:shd w:val="clear" w:color="auto" w:fill="034053"/>
          </w:tcPr>
          <w:p w14:paraId="0523A586" w14:textId="77777777" w:rsidR="00B9564D" w:rsidRDefault="00664574">
            <w:pPr>
              <w:pStyle w:val="TableParagraph"/>
              <w:ind w:left="362"/>
              <w:rPr>
                <w:b/>
                <w:sz w:val="20"/>
              </w:rPr>
            </w:pPr>
            <w:r>
              <w:rPr>
                <w:b/>
                <w:color w:val="FFFFFF"/>
                <w:sz w:val="20"/>
              </w:rPr>
              <w:t>Metric</w:t>
            </w:r>
          </w:p>
        </w:tc>
        <w:tc>
          <w:tcPr>
            <w:tcW w:w="1399" w:type="dxa"/>
            <w:shd w:val="clear" w:color="auto" w:fill="034053"/>
          </w:tcPr>
          <w:p w14:paraId="0523A587" w14:textId="77777777" w:rsidR="00B9564D" w:rsidRDefault="00664574">
            <w:pPr>
              <w:pStyle w:val="TableParagraph"/>
              <w:ind w:left="432"/>
              <w:rPr>
                <w:b/>
                <w:sz w:val="20"/>
              </w:rPr>
            </w:pPr>
            <w:r>
              <w:rPr>
                <w:b/>
                <w:color w:val="FFFFFF"/>
                <w:sz w:val="20"/>
              </w:rPr>
              <w:t>“As-Is”</w:t>
            </w:r>
          </w:p>
          <w:p w14:paraId="0523A588" w14:textId="77777777" w:rsidR="00B9564D" w:rsidRDefault="00664574">
            <w:pPr>
              <w:pStyle w:val="TableParagraph"/>
              <w:spacing w:before="103"/>
              <w:ind w:left="375"/>
              <w:rPr>
                <w:b/>
                <w:sz w:val="20"/>
              </w:rPr>
            </w:pPr>
            <w:r>
              <w:rPr>
                <w:b/>
                <w:color w:val="FFFFFF"/>
                <w:sz w:val="20"/>
              </w:rPr>
              <w:t>Baseline</w:t>
            </w:r>
          </w:p>
        </w:tc>
        <w:tc>
          <w:tcPr>
            <w:tcW w:w="2049" w:type="dxa"/>
            <w:shd w:val="clear" w:color="auto" w:fill="034053"/>
          </w:tcPr>
          <w:p w14:paraId="0523A589" w14:textId="77777777" w:rsidR="00B9564D" w:rsidRDefault="00664574">
            <w:pPr>
              <w:pStyle w:val="TableParagraph"/>
              <w:spacing w:line="331" w:lineRule="auto"/>
              <w:ind w:left="876" w:right="597" w:hanging="118"/>
              <w:rPr>
                <w:b/>
                <w:sz w:val="20"/>
              </w:rPr>
            </w:pPr>
            <w:r>
              <w:rPr>
                <w:b/>
                <w:color w:val="FFFFFF"/>
                <w:sz w:val="20"/>
              </w:rPr>
              <w:t>Project Goal</w:t>
            </w:r>
          </w:p>
        </w:tc>
        <w:tc>
          <w:tcPr>
            <w:tcW w:w="838" w:type="dxa"/>
            <w:shd w:val="clear" w:color="auto" w:fill="034053"/>
          </w:tcPr>
          <w:p w14:paraId="0523A58A" w14:textId="77777777" w:rsidR="00B9564D" w:rsidRDefault="00664574">
            <w:pPr>
              <w:pStyle w:val="TableParagraph"/>
              <w:ind w:left="174" w:right="33"/>
              <w:jc w:val="center"/>
              <w:rPr>
                <w:b/>
                <w:sz w:val="20"/>
              </w:rPr>
            </w:pPr>
            <w:r>
              <w:rPr>
                <w:b/>
                <w:color w:val="FFFFFF"/>
                <w:sz w:val="20"/>
              </w:rPr>
              <w:t>Delta</w:t>
            </w:r>
          </w:p>
        </w:tc>
        <w:tc>
          <w:tcPr>
            <w:tcW w:w="1116" w:type="dxa"/>
            <w:shd w:val="clear" w:color="auto" w:fill="034053"/>
          </w:tcPr>
          <w:p w14:paraId="0523A58B" w14:textId="77777777" w:rsidR="00B9564D" w:rsidRDefault="00664574">
            <w:pPr>
              <w:pStyle w:val="TableParagraph"/>
              <w:spacing w:line="331" w:lineRule="auto"/>
              <w:ind w:left="396" w:right="10" w:hanging="238"/>
              <w:rPr>
                <w:b/>
                <w:sz w:val="20"/>
              </w:rPr>
            </w:pPr>
            <w:r>
              <w:rPr>
                <w:b/>
                <w:color w:val="FFFFFF"/>
                <w:sz w:val="20"/>
              </w:rPr>
              <w:t>% Change (+/-)</w:t>
            </w:r>
          </w:p>
        </w:tc>
        <w:tc>
          <w:tcPr>
            <w:tcW w:w="3726" w:type="dxa"/>
            <w:shd w:val="clear" w:color="auto" w:fill="034053"/>
          </w:tcPr>
          <w:p w14:paraId="0523A58C" w14:textId="77777777" w:rsidR="00B9564D" w:rsidRDefault="00664574">
            <w:pPr>
              <w:pStyle w:val="TableParagraph"/>
              <w:ind w:left="684"/>
              <w:rPr>
                <w:b/>
                <w:sz w:val="20"/>
              </w:rPr>
            </w:pPr>
            <w:r>
              <w:rPr>
                <w:b/>
                <w:color w:val="FFFFFF"/>
                <w:sz w:val="20"/>
              </w:rPr>
              <w:t>Tracking &amp; Reporting Plan</w:t>
            </w:r>
          </w:p>
        </w:tc>
      </w:tr>
      <w:tr w:rsidR="00B9564D" w14:paraId="0523A594" w14:textId="77777777" w:rsidTr="00167E39">
        <w:trPr>
          <w:trHeight w:val="1154"/>
          <w:jc w:val="center"/>
        </w:trPr>
        <w:tc>
          <w:tcPr>
            <w:tcW w:w="1206" w:type="dxa"/>
          </w:tcPr>
          <w:p w14:paraId="0523A58E" w14:textId="77777777" w:rsidR="00B9564D" w:rsidRDefault="00664574">
            <w:pPr>
              <w:pStyle w:val="TableParagraph"/>
              <w:spacing w:before="98"/>
              <w:ind w:left="109" w:right="210"/>
              <w:rPr>
                <w:sz w:val="18"/>
              </w:rPr>
            </w:pPr>
            <w:r>
              <w:rPr>
                <w:sz w:val="18"/>
              </w:rPr>
              <w:t>Ship repair cycle time</w:t>
            </w:r>
          </w:p>
        </w:tc>
        <w:tc>
          <w:tcPr>
            <w:tcW w:w="1399" w:type="dxa"/>
          </w:tcPr>
          <w:p w14:paraId="0523A58F" w14:textId="77777777" w:rsidR="00B9564D" w:rsidRDefault="00664574">
            <w:pPr>
              <w:pStyle w:val="TableParagraph"/>
              <w:spacing w:before="102"/>
              <w:ind w:left="313" w:right="299"/>
              <w:jc w:val="center"/>
              <w:rPr>
                <w:rFonts w:ascii="Calibri"/>
                <w:sz w:val="20"/>
              </w:rPr>
            </w:pPr>
            <w:r>
              <w:rPr>
                <w:rFonts w:ascii="Calibri"/>
                <w:sz w:val="20"/>
              </w:rPr>
              <w:t>120 Days</w:t>
            </w:r>
          </w:p>
        </w:tc>
        <w:tc>
          <w:tcPr>
            <w:tcW w:w="2049" w:type="dxa"/>
          </w:tcPr>
          <w:p w14:paraId="0523A590" w14:textId="77777777" w:rsidR="00B9564D" w:rsidRDefault="00664574">
            <w:pPr>
              <w:pStyle w:val="TableParagraph"/>
              <w:spacing w:before="102"/>
              <w:ind w:left="689" w:right="673"/>
              <w:jc w:val="center"/>
              <w:rPr>
                <w:rFonts w:ascii="Calibri"/>
                <w:sz w:val="20"/>
              </w:rPr>
            </w:pPr>
            <w:r>
              <w:rPr>
                <w:rFonts w:ascii="Calibri"/>
                <w:sz w:val="20"/>
              </w:rPr>
              <w:t>85 Days</w:t>
            </w:r>
          </w:p>
        </w:tc>
        <w:tc>
          <w:tcPr>
            <w:tcW w:w="838" w:type="dxa"/>
          </w:tcPr>
          <w:p w14:paraId="0523A591" w14:textId="77777777" w:rsidR="00B9564D" w:rsidRDefault="00664574">
            <w:pPr>
              <w:pStyle w:val="TableParagraph"/>
              <w:spacing w:before="102"/>
              <w:ind w:left="89" w:right="63"/>
              <w:jc w:val="center"/>
              <w:rPr>
                <w:rFonts w:ascii="Calibri"/>
                <w:sz w:val="20"/>
              </w:rPr>
            </w:pPr>
            <w:r>
              <w:rPr>
                <w:rFonts w:ascii="Calibri"/>
                <w:sz w:val="20"/>
              </w:rPr>
              <w:t>35 Days</w:t>
            </w:r>
          </w:p>
        </w:tc>
        <w:tc>
          <w:tcPr>
            <w:tcW w:w="1116" w:type="dxa"/>
          </w:tcPr>
          <w:p w14:paraId="0523A592" w14:textId="77777777" w:rsidR="00B9564D" w:rsidRDefault="00664574">
            <w:pPr>
              <w:pStyle w:val="TableParagraph"/>
              <w:spacing w:before="102"/>
              <w:ind w:left="364"/>
              <w:rPr>
                <w:rFonts w:ascii="Calibri"/>
                <w:sz w:val="20"/>
              </w:rPr>
            </w:pPr>
            <w:r>
              <w:rPr>
                <w:rFonts w:ascii="Calibri"/>
                <w:sz w:val="20"/>
              </w:rPr>
              <w:t>-29%</w:t>
            </w:r>
          </w:p>
        </w:tc>
        <w:tc>
          <w:tcPr>
            <w:tcW w:w="3726" w:type="dxa"/>
          </w:tcPr>
          <w:p w14:paraId="0523A593" w14:textId="77777777" w:rsidR="00B9564D" w:rsidRDefault="00664574" w:rsidP="00167E39">
            <w:pPr>
              <w:pStyle w:val="TableParagraph"/>
              <w:ind w:left="120" w:right="288"/>
              <w:jc w:val="center"/>
              <w:rPr>
                <w:sz w:val="18"/>
              </w:rPr>
            </w:pPr>
            <w:r>
              <w:rPr>
                <w:sz w:val="18"/>
              </w:rPr>
              <w:t>Select a similar ship availability as baseline; document cycle time at the end of the job</w:t>
            </w:r>
          </w:p>
        </w:tc>
      </w:tr>
      <w:tr w:rsidR="00B9564D" w14:paraId="0523A59B" w14:textId="77777777" w:rsidTr="00167E39">
        <w:trPr>
          <w:trHeight w:val="1573"/>
          <w:jc w:val="center"/>
        </w:trPr>
        <w:tc>
          <w:tcPr>
            <w:tcW w:w="1206" w:type="dxa"/>
          </w:tcPr>
          <w:p w14:paraId="0523A595" w14:textId="77777777" w:rsidR="00B9564D" w:rsidRDefault="00664574">
            <w:pPr>
              <w:pStyle w:val="TableParagraph"/>
              <w:spacing w:before="97"/>
              <w:ind w:left="109" w:right="153"/>
              <w:rPr>
                <w:sz w:val="18"/>
              </w:rPr>
            </w:pPr>
            <w:r>
              <w:rPr>
                <w:sz w:val="18"/>
              </w:rPr>
              <w:t>Transaction cost for</w:t>
            </w:r>
          </w:p>
        </w:tc>
        <w:tc>
          <w:tcPr>
            <w:tcW w:w="1399" w:type="dxa"/>
          </w:tcPr>
          <w:p w14:paraId="0523A596" w14:textId="77777777" w:rsidR="00B9564D" w:rsidRDefault="00664574">
            <w:pPr>
              <w:pStyle w:val="TableParagraph"/>
              <w:ind w:left="313" w:right="296"/>
              <w:jc w:val="center"/>
              <w:rPr>
                <w:sz w:val="18"/>
              </w:rPr>
            </w:pPr>
            <w:r>
              <w:rPr>
                <w:sz w:val="18"/>
              </w:rPr>
              <w:t>$700</w:t>
            </w:r>
          </w:p>
        </w:tc>
        <w:tc>
          <w:tcPr>
            <w:tcW w:w="2049" w:type="dxa"/>
          </w:tcPr>
          <w:p w14:paraId="0523A597" w14:textId="77777777" w:rsidR="00B9564D" w:rsidRDefault="00664574">
            <w:pPr>
              <w:pStyle w:val="TableParagraph"/>
              <w:ind w:left="689" w:right="670"/>
              <w:jc w:val="center"/>
              <w:rPr>
                <w:sz w:val="18"/>
              </w:rPr>
            </w:pPr>
            <w:r>
              <w:rPr>
                <w:sz w:val="18"/>
              </w:rPr>
              <w:t>$125</w:t>
            </w:r>
          </w:p>
        </w:tc>
        <w:tc>
          <w:tcPr>
            <w:tcW w:w="838" w:type="dxa"/>
          </w:tcPr>
          <w:p w14:paraId="0523A598" w14:textId="77777777" w:rsidR="00B9564D" w:rsidRDefault="00664574">
            <w:pPr>
              <w:pStyle w:val="TableParagraph"/>
              <w:ind w:left="80" w:right="63"/>
              <w:jc w:val="center"/>
              <w:rPr>
                <w:sz w:val="18"/>
              </w:rPr>
            </w:pPr>
            <w:r>
              <w:rPr>
                <w:sz w:val="18"/>
              </w:rPr>
              <w:t>$575</w:t>
            </w:r>
          </w:p>
        </w:tc>
        <w:tc>
          <w:tcPr>
            <w:tcW w:w="1116" w:type="dxa"/>
          </w:tcPr>
          <w:p w14:paraId="0523A599" w14:textId="77777777" w:rsidR="00B9564D" w:rsidRDefault="00664574">
            <w:pPr>
              <w:pStyle w:val="TableParagraph"/>
              <w:ind w:left="359"/>
              <w:rPr>
                <w:sz w:val="18"/>
              </w:rPr>
            </w:pPr>
            <w:r>
              <w:rPr>
                <w:sz w:val="18"/>
              </w:rPr>
              <w:t>-82%</w:t>
            </w:r>
          </w:p>
        </w:tc>
        <w:tc>
          <w:tcPr>
            <w:tcW w:w="3726" w:type="dxa"/>
          </w:tcPr>
          <w:p w14:paraId="0523A59A" w14:textId="77777777" w:rsidR="00B9564D" w:rsidRDefault="00664574" w:rsidP="00167E39">
            <w:pPr>
              <w:pStyle w:val="TableParagraph"/>
              <w:spacing w:before="98"/>
              <w:ind w:left="120" w:right="26"/>
              <w:jc w:val="center"/>
              <w:rPr>
                <w:sz w:val="18"/>
              </w:rPr>
            </w:pPr>
            <w:r>
              <w:rPr>
                <w:sz w:val="18"/>
              </w:rPr>
              <w:t>Report quarterly as process improvements are implemented</w:t>
            </w:r>
          </w:p>
        </w:tc>
      </w:tr>
      <w:tr w:rsidR="00B9564D" w14:paraId="0523A5A2" w14:textId="77777777" w:rsidTr="00167E39">
        <w:trPr>
          <w:trHeight w:val="1426"/>
          <w:jc w:val="center"/>
        </w:trPr>
        <w:tc>
          <w:tcPr>
            <w:tcW w:w="1206" w:type="dxa"/>
          </w:tcPr>
          <w:p w14:paraId="0523A59C" w14:textId="77777777" w:rsidR="00B9564D" w:rsidRDefault="00664574">
            <w:pPr>
              <w:pStyle w:val="TableParagraph"/>
              <w:spacing w:before="97"/>
              <w:ind w:left="109" w:right="323"/>
              <w:rPr>
                <w:sz w:val="18"/>
              </w:rPr>
            </w:pPr>
            <w:r>
              <w:rPr>
                <w:sz w:val="18"/>
              </w:rPr>
              <w:t>Parts in inventory</w:t>
            </w:r>
          </w:p>
        </w:tc>
        <w:tc>
          <w:tcPr>
            <w:tcW w:w="1399" w:type="dxa"/>
          </w:tcPr>
          <w:p w14:paraId="0523A59D" w14:textId="77777777" w:rsidR="00B9564D" w:rsidRDefault="00664574">
            <w:pPr>
              <w:pStyle w:val="TableParagraph"/>
              <w:spacing w:before="101"/>
              <w:ind w:left="313" w:right="298"/>
              <w:jc w:val="center"/>
              <w:rPr>
                <w:rFonts w:ascii="Calibri"/>
                <w:sz w:val="20"/>
              </w:rPr>
            </w:pPr>
            <w:r>
              <w:rPr>
                <w:rFonts w:ascii="Calibri"/>
                <w:sz w:val="20"/>
              </w:rPr>
              <w:t>20,000</w:t>
            </w:r>
          </w:p>
        </w:tc>
        <w:tc>
          <w:tcPr>
            <w:tcW w:w="2049" w:type="dxa"/>
          </w:tcPr>
          <w:p w14:paraId="0523A59E" w14:textId="77777777" w:rsidR="00B9564D" w:rsidRDefault="00664574">
            <w:pPr>
              <w:pStyle w:val="TableParagraph"/>
              <w:spacing w:before="101"/>
              <w:ind w:left="689" w:right="671"/>
              <w:jc w:val="center"/>
              <w:rPr>
                <w:rFonts w:ascii="Calibri"/>
                <w:sz w:val="20"/>
              </w:rPr>
            </w:pPr>
            <w:r>
              <w:rPr>
                <w:rFonts w:ascii="Calibri"/>
                <w:sz w:val="20"/>
              </w:rPr>
              <w:t>12,000</w:t>
            </w:r>
          </w:p>
        </w:tc>
        <w:tc>
          <w:tcPr>
            <w:tcW w:w="838" w:type="dxa"/>
          </w:tcPr>
          <w:p w14:paraId="0523A59F" w14:textId="77777777" w:rsidR="00B9564D" w:rsidRDefault="00664574">
            <w:pPr>
              <w:pStyle w:val="TableParagraph"/>
              <w:spacing w:before="101"/>
              <w:ind w:left="79" w:right="63"/>
              <w:jc w:val="center"/>
              <w:rPr>
                <w:rFonts w:ascii="Calibri"/>
                <w:sz w:val="20"/>
              </w:rPr>
            </w:pPr>
            <w:r>
              <w:rPr>
                <w:rFonts w:ascii="Calibri"/>
                <w:sz w:val="20"/>
              </w:rPr>
              <w:t>8,000</w:t>
            </w:r>
          </w:p>
        </w:tc>
        <w:tc>
          <w:tcPr>
            <w:tcW w:w="1116" w:type="dxa"/>
          </w:tcPr>
          <w:p w14:paraId="0523A5A0" w14:textId="77777777" w:rsidR="00B9564D" w:rsidRDefault="00664574">
            <w:pPr>
              <w:pStyle w:val="TableParagraph"/>
              <w:spacing w:before="101"/>
              <w:ind w:left="362"/>
              <w:rPr>
                <w:rFonts w:ascii="Calibri"/>
                <w:sz w:val="20"/>
              </w:rPr>
            </w:pPr>
            <w:r>
              <w:rPr>
                <w:rFonts w:ascii="Calibri"/>
                <w:sz w:val="20"/>
              </w:rPr>
              <w:t>-40%</w:t>
            </w:r>
          </w:p>
        </w:tc>
        <w:tc>
          <w:tcPr>
            <w:tcW w:w="3726" w:type="dxa"/>
          </w:tcPr>
          <w:p w14:paraId="0523A5A1" w14:textId="77777777" w:rsidR="00B9564D" w:rsidRDefault="00664574" w:rsidP="00167E39">
            <w:pPr>
              <w:pStyle w:val="TableParagraph"/>
              <w:spacing w:before="97"/>
              <w:ind w:left="210" w:right="120"/>
              <w:jc w:val="center"/>
              <w:rPr>
                <w:sz w:val="18"/>
              </w:rPr>
            </w:pPr>
            <w:r>
              <w:rPr>
                <w:sz w:val="18"/>
              </w:rPr>
              <w:t>Set a monthly part reduction goal and assess each month; report quarterly the reduction and any changes to the plan to reach project goal</w:t>
            </w:r>
          </w:p>
        </w:tc>
      </w:tr>
      <w:tr w:rsidR="00B9564D" w14:paraId="0523A5AB" w14:textId="77777777" w:rsidTr="00167E39">
        <w:trPr>
          <w:trHeight w:val="1430"/>
          <w:jc w:val="center"/>
        </w:trPr>
        <w:tc>
          <w:tcPr>
            <w:tcW w:w="1206" w:type="dxa"/>
          </w:tcPr>
          <w:p w14:paraId="0523A5A3" w14:textId="77777777" w:rsidR="00B9564D" w:rsidRDefault="00B9564D">
            <w:pPr>
              <w:pStyle w:val="TableParagraph"/>
              <w:spacing w:before="5"/>
              <w:rPr>
                <w:sz w:val="30"/>
              </w:rPr>
            </w:pPr>
          </w:p>
          <w:p w14:paraId="0523A5A4" w14:textId="77777777" w:rsidR="00B9564D" w:rsidRDefault="00664574">
            <w:pPr>
              <w:pStyle w:val="TableParagraph"/>
              <w:spacing w:before="0"/>
              <w:ind w:left="109" w:right="144"/>
              <w:rPr>
                <w:sz w:val="18"/>
              </w:rPr>
            </w:pPr>
            <w:r>
              <w:rPr>
                <w:sz w:val="18"/>
              </w:rPr>
              <w:t>Technology Readiness Level</w:t>
            </w:r>
          </w:p>
        </w:tc>
        <w:tc>
          <w:tcPr>
            <w:tcW w:w="1399" w:type="dxa"/>
          </w:tcPr>
          <w:p w14:paraId="0523A5A5" w14:textId="77777777" w:rsidR="00B9564D" w:rsidRDefault="00664574">
            <w:pPr>
              <w:pStyle w:val="TableParagraph"/>
              <w:spacing w:before="98"/>
              <w:ind w:left="8" w:right="34" w:hanging="1"/>
              <w:rPr>
                <w:rFonts w:ascii="Calibri" w:hAnsi="Calibri"/>
                <w:sz w:val="20"/>
              </w:rPr>
            </w:pPr>
            <w:r>
              <w:rPr>
                <w:rFonts w:ascii="Calibri" w:hAnsi="Calibri"/>
                <w:sz w:val="20"/>
              </w:rPr>
              <w:t>4 – Component/ breadboard validation in laboratory environment</w:t>
            </w:r>
          </w:p>
        </w:tc>
        <w:tc>
          <w:tcPr>
            <w:tcW w:w="2049" w:type="dxa"/>
          </w:tcPr>
          <w:p w14:paraId="0523A5A6" w14:textId="77777777" w:rsidR="00B9564D" w:rsidRDefault="00B9564D">
            <w:pPr>
              <w:pStyle w:val="TableParagraph"/>
              <w:spacing w:before="5"/>
            </w:pPr>
          </w:p>
          <w:p w14:paraId="0523A5A7" w14:textId="77777777" w:rsidR="00B9564D" w:rsidRDefault="00664574">
            <w:pPr>
              <w:pStyle w:val="TableParagraph"/>
              <w:spacing w:before="0"/>
              <w:ind w:left="9" w:right="59" w:hanging="1"/>
              <w:rPr>
                <w:rFonts w:ascii="Calibri" w:hAnsi="Calibri"/>
                <w:sz w:val="20"/>
              </w:rPr>
            </w:pPr>
            <w:r>
              <w:rPr>
                <w:rFonts w:ascii="Calibri" w:hAnsi="Calibri"/>
                <w:sz w:val="20"/>
              </w:rPr>
              <w:t>7 – Prototype validation in operational environment</w:t>
            </w:r>
          </w:p>
        </w:tc>
        <w:tc>
          <w:tcPr>
            <w:tcW w:w="1954" w:type="dxa"/>
            <w:gridSpan w:val="2"/>
            <w:shd w:val="clear" w:color="auto" w:fill="8EB0BD"/>
          </w:tcPr>
          <w:p w14:paraId="0523A5A8" w14:textId="77777777" w:rsidR="00B9564D" w:rsidRDefault="00B9564D">
            <w:pPr>
              <w:pStyle w:val="TableParagraph"/>
              <w:spacing w:before="0"/>
              <w:rPr>
                <w:rFonts w:ascii="Times New Roman"/>
                <w:sz w:val="20"/>
              </w:rPr>
            </w:pPr>
          </w:p>
        </w:tc>
        <w:tc>
          <w:tcPr>
            <w:tcW w:w="3726" w:type="dxa"/>
          </w:tcPr>
          <w:p w14:paraId="0523A5A9" w14:textId="77777777" w:rsidR="00B9564D" w:rsidRDefault="00B9564D">
            <w:pPr>
              <w:pStyle w:val="TableParagraph"/>
              <w:spacing w:before="11"/>
              <w:rPr>
                <w:sz w:val="31"/>
              </w:rPr>
            </w:pPr>
          </w:p>
          <w:p w14:paraId="0523A5AA" w14:textId="77777777" w:rsidR="00B9564D" w:rsidRDefault="00664574" w:rsidP="00167E39">
            <w:pPr>
              <w:pStyle w:val="TableParagraph"/>
              <w:spacing w:before="0"/>
              <w:ind w:left="300" w:right="470"/>
              <w:jc w:val="center"/>
              <w:rPr>
                <w:sz w:val="18"/>
              </w:rPr>
            </w:pPr>
            <w:r>
              <w:rPr>
                <w:sz w:val="18"/>
              </w:rPr>
              <w:t>Demonstrate prototype of technology in shipyard production environment</w:t>
            </w:r>
          </w:p>
        </w:tc>
      </w:tr>
    </w:tbl>
    <w:p w14:paraId="0523A5AC" w14:textId="77777777" w:rsidR="00664574" w:rsidRDefault="00664574"/>
    <w:sectPr w:rsidR="00664574">
      <w:headerReference w:type="default" r:id="rId9"/>
      <w:footerReference w:type="default" r:id="rId10"/>
      <w:pgSz w:w="12240" w:h="15840"/>
      <w:pgMar w:top="980" w:right="340" w:bottom="1680" w:left="620" w:header="551" w:footer="1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D9F09" w14:textId="77777777" w:rsidR="00664574" w:rsidRDefault="00664574">
      <w:r>
        <w:separator/>
      </w:r>
    </w:p>
  </w:endnote>
  <w:endnote w:type="continuationSeparator" w:id="0">
    <w:p w14:paraId="72E8A008" w14:textId="77777777" w:rsidR="00664574" w:rsidRDefault="0066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Black">
    <w:altName w:val="Segoe UI Black"/>
    <w:panose1 w:val="020B0A02040204020203"/>
    <w:charset w:val="00"/>
    <w:family w:val="swiss"/>
    <w:pitch w:val="variable"/>
    <w:sig w:usb0="E00002FF" w:usb1="4000E4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A5B9" w14:textId="77777777" w:rsidR="00B9564D" w:rsidRDefault="00664574">
    <w:pPr>
      <w:pStyle w:val="BodyText"/>
      <w:spacing w:line="14" w:lineRule="auto"/>
      <w:rPr>
        <w:sz w:val="20"/>
      </w:rPr>
    </w:pPr>
    <w:r>
      <w:rPr>
        <w:noProof/>
      </w:rPr>
      <w:drawing>
        <wp:anchor distT="0" distB="0" distL="0" distR="0" simplePos="0" relativeHeight="251658240" behindDoc="1" locked="0" layoutInCell="1" allowOverlap="1" wp14:anchorId="0523A5BC" wp14:editId="0523A5BD">
          <wp:simplePos x="0" y="0"/>
          <wp:positionH relativeFrom="page">
            <wp:posOffset>5848350</wp:posOffset>
          </wp:positionH>
          <wp:positionV relativeFrom="page">
            <wp:posOffset>8991600</wp:posOffset>
          </wp:positionV>
          <wp:extent cx="1003413" cy="60323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003413" cy="60323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167F0" w14:textId="77777777" w:rsidR="00664574" w:rsidRDefault="00664574">
      <w:r>
        <w:separator/>
      </w:r>
    </w:p>
  </w:footnote>
  <w:footnote w:type="continuationSeparator" w:id="0">
    <w:p w14:paraId="28A20669" w14:textId="77777777" w:rsidR="00664574" w:rsidRDefault="0066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3A5B8" w14:textId="77777777" w:rsidR="00B9564D" w:rsidRDefault="00664574">
    <w:pPr>
      <w:pStyle w:val="BodyText"/>
      <w:spacing w:line="14" w:lineRule="auto"/>
      <w:rPr>
        <w:sz w:val="20"/>
      </w:rPr>
    </w:pPr>
    <w:r>
      <w:pict w14:anchorId="0523A5BA">
        <v:line id="_x0000_s1026" style="position:absolute;z-index:-251874304;mso-position-horizontal-relative:page;mso-position-vertical-relative:page" from="610.9pt,49pt" to="306.5pt,49pt" strokecolor="#04536f" strokeweight="1.5pt">
          <w10:wrap anchorx="page" anchory="page"/>
        </v:line>
      </w:pict>
    </w:r>
    <w:r>
      <w:pict w14:anchorId="0523A5BB">
        <v:shapetype id="_x0000_t202" coordsize="21600,21600" o:spt="202" path="m,l,21600r21600,l21600,xe">
          <v:stroke joinstyle="miter"/>
          <v:path gradientshapeok="t" o:connecttype="rect"/>
        </v:shapetype>
        <v:shape id="_x0000_s1025" type="#_x0000_t202" style="position:absolute;margin-left:366.75pt;margin-top:26.55pt;width:228.75pt;height:18pt;z-index:-251873280;mso-position-horizontal-relative:page;mso-position-vertical-relative:page" filled="f" stroked="f">
          <v:textbox inset="0,0,0,0">
            <w:txbxContent>
              <w:p w14:paraId="0523A5C3" w14:textId="3D3560CB" w:rsidR="00B9564D" w:rsidRDefault="00664574">
                <w:pPr>
                  <w:spacing w:before="20"/>
                  <w:ind w:left="20"/>
                  <w:rPr>
                    <w:sz w:val="24"/>
                  </w:rPr>
                </w:pPr>
                <w:r>
                  <w:rPr>
                    <w:sz w:val="24"/>
                  </w:rPr>
                  <w:t>Attachment 1- Statement of Work for FY2</w:t>
                </w:r>
                <w:r w:rsidR="003246C8">
                  <w:rPr>
                    <w:sz w:val="24"/>
                  </w:rPr>
                  <w:t>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A41B0"/>
    <w:multiLevelType w:val="multilevel"/>
    <w:tmpl w:val="B6381FAA"/>
    <w:lvl w:ilvl="0">
      <w:start w:val="2"/>
      <w:numFmt w:val="decimal"/>
      <w:lvlText w:val="%1"/>
      <w:lvlJc w:val="left"/>
      <w:pPr>
        <w:ind w:left="1898" w:hanging="360"/>
      </w:pPr>
      <w:rPr>
        <w:rFonts w:hint="default"/>
        <w:lang w:val="en-US" w:eastAsia="en-US" w:bidi="en-US"/>
      </w:rPr>
    </w:lvl>
    <w:lvl w:ilvl="1">
      <w:start w:val="1"/>
      <w:numFmt w:val="decimal"/>
      <w:lvlText w:val="%1.%2"/>
      <w:lvlJc w:val="left"/>
      <w:pPr>
        <w:ind w:left="1898" w:hanging="360"/>
      </w:pPr>
      <w:rPr>
        <w:rFonts w:ascii="Segoe UI" w:eastAsia="Segoe UI" w:hAnsi="Segoe UI" w:cs="Segoe UI" w:hint="default"/>
        <w:b/>
        <w:bCs/>
        <w:spacing w:val="-1"/>
        <w:w w:val="99"/>
        <w:sz w:val="22"/>
        <w:szCs w:val="22"/>
        <w:lang w:val="en-US" w:eastAsia="en-US" w:bidi="en-US"/>
      </w:rPr>
    </w:lvl>
    <w:lvl w:ilvl="2">
      <w:start w:val="1"/>
      <w:numFmt w:val="decimal"/>
      <w:lvlText w:val="%1.%2.%3"/>
      <w:lvlJc w:val="left"/>
      <w:pPr>
        <w:ind w:left="2978" w:hanging="720"/>
      </w:pPr>
      <w:rPr>
        <w:rFonts w:ascii="Segoe UI" w:eastAsia="Segoe UI" w:hAnsi="Segoe UI" w:cs="Segoe UI" w:hint="default"/>
        <w:b/>
        <w:bCs/>
        <w:spacing w:val="-1"/>
        <w:w w:val="99"/>
        <w:sz w:val="22"/>
        <w:szCs w:val="22"/>
        <w:lang w:val="en-US" w:eastAsia="en-US" w:bidi="en-US"/>
      </w:rPr>
    </w:lvl>
    <w:lvl w:ilvl="3">
      <w:numFmt w:val="bullet"/>
      <w:lvlText w:val="•"/>
      <w:lvlJc w:val="left"/>
      <w:pPr>
        <w:ind w:left="4824" w:hanging="720"/>
      </w:pPr>
      <w:rPr>
        <w:rFonts w:hint="default"/>
        <w:lang w:val="en-US" w:eastAsia="en-US" w:bidi="en-US"/>
      </w:rPr>
    </w:lvl>
    <w:lvl w:ilvl="4">
      <w:numFmt w:val="bullet"/>
      <w:lvlText w:val="•"/>
      <w:lvlJc w:val="left"/>
      <w:pPr>
        <w:ind w:left="5746" w:hanging="720"/>
      </w:pPr>
      <w:rPr>
        <w:rFonts w:hint="default"/>
        <w:lang w:val="en-US" w:eastAsia="en-US" w:bidi="en-US"/>
      </w:rPr>
    </w:lvl>
    <w:lvl w:ilvl="5">
      <w:numFmt w:val="bullet"/>
      <w:lvlText w:val="•"/>
      <w:lvlJc w:val="left"/>
      <w:pPr>
        <w:ind w:left="6668" w:hanging="720"/>
      </w:pPr>
      <w:rPr>
        <w:rFonts w:hint="default"/>
        <w:lang w:val="en-US" w:eastAsia="en-US" w:bidi="en-US"/>
      </w:rPr>
    </w:lvl>
    <w:lvl w:ilvl="6">
      <w:numFmt w:val="bullet"/>
      <w:lvlText w:val="•"/>
      <w:lvlJc w:val="left"/>
      <w:pPr>
        <w:ind w:left="7591" w:hanging="720"/>
      </w:pPr>
      <w:rPr>
        <w:rFonts w:hint="default"/>
        <w:lang w:val="en-US" w:eastAsia="en-US" w:bidi="en-US"/>
      </w:rPr>
    </w:lvl>
    <w:lvl w:ilvl="7">
      <w:numFmt w:val="bullet"/>
      <w:lvlText w:val="•"/>
      <w:lvlJc w:val="left"/>
      <w:pPr>
        <w:ind w:left="8513" w:hanging="720"/>
      </w:pPr>
      <w:rPr>
        <w:rFonts w:hint="default"/>
        <w:lang w:val="en-US" w:eastAsia="en-US" w:bidi="en-US"/>
      </w:rPr>
    </w:lvl>
    <w:lvl w:ilvl="8">
      <w:numFmt w:val="bullet"/>
      <w:lvlText w:val="•"/>
      <w:lvlJc w:val="left"/>
      <w:pPr>
        <w:ind w:left="9435" w:hanging="720"/>
      </w:pPr>
      <w:rPr>
        <w:rFonts w:hint="default"/>
        <w:lang w:val="en-US" w:eastAsia="en-US" w:bidi="en-US"/>
      </w:rPr>
    </w:lvl>
  </w:abstractNum>
  <w:num w:numId="1" w16cid:durableId="28817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9564D"/>
    <w:rsid w:val="00167E39"/>
    <w:rsid w:val="003246C8"/>
    <w:rsid w:val="00664574"/>
    <w:rsid w:val="00B9564D"/>
    <w:rsid w:val="00E85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523A558"/>
  <w15:docId w15:val="{AC68F130-9974-4C05-8AA8-41E935BD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bidi="en-US"/>
    </w:rPr>
  </w:style>
  <w:style w:type="paragraph" w:styleId="Heading1">
    <w:name w:val="heading 1"/>
    <w:basedOn w:val="Normal"/>
    <w:uiPriority w:val="9"/>
    <w:qFormat/>
    <w:pPr>
      <w:ind w:left="1898"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978" w:hanging="721"/>
    </w:pPr>
  </w:style>
  <w:style w:type="paragraph" w:customStyle="1" w:styleId="TableParagraph">
    <w:name w:val="Table Paragraph"/>
    <w:basedOn w:val="Normal"/>
    <w:uiPriority w:val="1"/>
    <w:qFormat/>
    <w:pPr>
      <w:spacing w:before="99"/>
    </w:pPr>
  </w:style>
  <w:style w:type="paragraph" w:styleId="Header">
    <w:name w:val="header"/>
    <w:basedOn w:val="Normal"/>
    <w:link w:val="HeaderChar"/>
    <w:uiPriority w:val="99"/>
    <w:unhideWhenUsed/>
    <w:rsid w:val="003246C8"/>
    <w:pPr>
      <w:tabs>
        <w:tab w:val="center" w:pos="4680"/>
        <w:tab w:val="right" w:pos="9360"/>
      </w:tabs>
    </w:pPr>
  </w:style>
  <w:style w:type="character" w:customStyle="1" w:styleId="HeaderChar">
    <w:name w:val="Header Char"/>
    <w:basedOn w:val="DefaultParagraphFont"/>
    <w:link w:val="Header"/>
    <w:uiPriority w:val="99"/>
    <w:rsid w:val="003246C8"/>
    <w:rPr>
      <w:rFonts w:ascii="Segoe UI" w:eastAsia="Segoe UI" w:hAnsi="Segoe UI" w:cs="Segoe UI"/>
      <w:lang w:bidi="en-US"/>
    </w:rPr>
  </w:style>
  <w:style w:type="paragraph" w:styleId="Footer">
    <w:name w:val="footer"/>
    <w:basedOn w:val="Normal"/>
    <w:link w:val="FooterChar"/>
    <w:uiPriority w:val="99"/>
    <w:unhideWhenUsed/>
    <w:rsid w:val="003246C8"/>
    <w:pPr>
      <w:tabs>
        <w:tab w:val="center" w:pos="4680"/>
        <w:tab w:val="right" w:pos="9360"/>
      </w:tabs>
    </w:pPr>
  </w:style>
  <w:style w:type="character" w:customStyle="1" w:styleId="FooterChar">
    <w:name w:val="Footer Char"/>
    <w:basedOn w:val="DefaultParagraphFont"/>
    <w:link w:val="Footer"/>
    <w:uiPriority w:val="99"/>
    <w:rsid w:val="003246C8"/>
    <w:rPr>
      <w:rFonts w:ascii="Segoe UI" w:eastAsia="Segoe UI" w:hAnsi="Segoe UI" w:cs="Segoe U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srp.org/project-plans-template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B00F1B51118478C6C0CEA68ABB077" ma:contentTypeVersion="135" ma:contentTypeDescription="Create a new document." ma:contentTypeScope="" ma:versionID="64dd477096f4938e63207a820563b0ec">
  <xsd:schema xmlns:xsd="http://www.w3.org/2001/XMLSchema" xmlns:xs="http://www.w3.org/2001/XMLSchema" xmlns:p="http://schemas.microsoft.com/office/2006/metadata/properties" xmlns:ns2="56f468c1-b7a7-45fc-8eef-ee9bb87e7def" xmlns:ns3="897c29dc-4a02-4111-a13a-3b8c02cfec03" targetNamespace="http://schemas.microsoft.com/office/2006/metadata/properties" ma:root="true" ma:fieldsID="89092f6a9ac258c2ade722cbe7ba8336" ns2:_="" ns3:_="">
    <xsd:import namespace="56f468c1-b7a7-45fc-8eef-ee9bb87e7def"/>
    <xsd:import namespace="897c29dc-4a02-4111-a13a-3b8c02cfec0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element ref="ns2:SharedWithDetails" minOccurs="0"/>
                <xsd:element ref="ns2:Proprietary"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468c1-b7a7-45fc-8eef-ee9bb87e7d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3f6cab7d-b706-4295-9176-1c82369e6439}" ma:internalName="TaxCatchAll" ma:showField="CatchAllData" ma:web="56f468c1-b7a7-45fc-8eef-ee9bb87e7def">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Proprietary" ma:index="14" nillable="true" ma:displayName="Proprietary?" ma:default="No" ma:description="Is the information contained in this document proprietary?" ma:format="RadioButtons" ma:internalName="Proprietary" ma:readOnly="false">
      <xsd:simpleType>
        <xsd:restriction base="dms:Choice">
          <xsd:enumeration value="No"/>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897c29dc-4a02-4111-a13a-3b8c02cfec03"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prietary xmlns="56f468c1-b7a7-45fc-8eef-ee9bb87e7def">No</Proprietary>
    <TaxCatchAll xmlns="56f468c1-b7a7-45fc-8eef-ee9bb87e7def" xsi:nil="true"/>
    <lcf76f155ced4ddcb4097134ff3c332f xmlns="897c29dc-4a02-4111-a13a-3b8c02cfec03">
      <Terms xmlns="http://schemas.microsoft.com/office/infopath/2007/PartnerControls"/>
    </lcf76f155ced4ddcb4097134ff3c332f>
    <_dlc_DocId xmlns="56f468c1-b7a7-45fc-8eef-ee9bb87e7def">SUWQNNFYERAX-454572078-124579</_dlc_DocId>
    <_dlc_DocIdUrl xmlns="56f468c1-b7a7-45fc-8eef-ee9bb87e7def">
      <Url>https://aticloud.sharepoint.us/sites/NT/_layouts/15/DocIdRedir.aspx?ID=SUWQNNFYERAX-454572078-124579</Url>
      <Description>SUWQNNFYERAX-454572078-124579</Description>
    </_dlc_DocIdUrl>
  </documentManagement>
</p:properties>
</file>

<file path=customXml/itemProps1.xml><?xml version="1.0" encoding="utf-8"?>
<ds:datastoreItem xmlns:ds="http://schemas.openxmlformats.org/officeDocument/2006/customXml" ds:itemID="{F45A4E05-3736-42BC-9049-76C5D3ECFCC6}"/>
</file>

<file path=customXml/itemProps2.xml><?xml version="1.0" encoding="utf-8"?>
<ds:datastoreItem xmlns:ds="http://schemas.openxmlformats.org/officeDocument/2006/customXml" ds:itemID="{223191D3-7636-4CBA-B804-1DF5D9BF8401}"/>
</file>

<file path=customXml/itemProps3.xml><?xml version="1.0" encoding="utf-8"?>
<ds:datastoreItem xmlns:ds="http://schemas.openxmlformats.org/officeDocument/2006/customXml" ds:itemID="{59B4687F-A6DD-4700-A03C-79E1997A06D4}"/>
</file>

<file path=customXml/itemProps4.xml><?xml version="1.0" encoding="utf-8"?>
<ds:datastoreItem xmlns:ds="http://schemas.openxmlformats.org/officeDocument/2006/customXml" ds:itemID="{F8B82A89-99B2-4863-897D-00D1B917C89D}"/>
</file>

<file path=docProps/app.xml><?xml version="1.0" encoding="utf-8"?>
<Properties xmlns="http://schemas.openxmlformats.org/officeDocument/2006/extended-properties" xmlns:vt="http://schemas.openxmlformats.org/officeDocument/2006/docPropsVTypes">
  <Template>Normal</Template>
  <TotalTime>4</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Pearce, Frances</dc:creator>
  <cp:lastModifiedBy>Schneider, Ryan</cp:lastModifiedBy>
  <cp:revision>2</cp:revision>
  <dcterms:created xsi:type="dcterms:W3CDTF">2026-03-25T14:13:00Z</dcterms:created>
  <dcterms:modified xsi:type="dcterms:W3CDTF">2026-03-25T14:20:00Z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Acrobat PDFMaker 20 for Word</vt:lpwstr>
  </property>
  <property fmtid="{D5CDD505-2E9C-101B-9397-08002B2CF9AE}" pid="4" name="LastSaved">
    <vt:filetime>2026-03-25T00:00:00Z</vt:filetime>
  </property>
  <property fmtid="{D5CDD505-2E9C-101B-9397-08002B2CF9AE}" pid="5" name="ContentTypeId">
    <vt:lpwstr>0x010100397B00F1B51118478C6C0CEA68ABB077</vt:lpwstr>
  </property>
  <property fmtid="{D5CDD505-2E9C-101B-9397-08002B2CF9AE}" pid="6" name="_dlc_DocIdItemGuid">
    <vt:lpwstr>5475b1a2-da61-41a3-97eb-70cd0b5f65f6</vt:lpwstr>
  </property>
</Properties>
</file>